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2261-О/2024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Рубанова Виктора Макаровича на нарушение его конституционных прав отдельными положениями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В.М.Рубанова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В.М.Рубанов оспаривает конституционность пункта 1 статьи 334 «Полномочия суда апелляционной инстанции при рассмотрении частной жалобы, представления прокурора», части десятой статьи 3795 «Порядок рассмотрения дела кассационным судом общей юрисдикции», части первой 3796 «Пределы рассмотрения дела кассационным судом общей юрисдикции», части первой статьи 3797 «Основания для отмены или изменения судебных постановлений кассационным судом общей юрисдикции», пункта 1 части второй статьи 3904 «Порядок подачи кассационных жалобы, представления в судебную коллегию Верховного 2 Суда Российской Федерации», пункта 3 части первой статьи 3906 «Возвращение кассационных жалобы, представления без рассмотрения по существу», части первой статьи 39111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 абзаца первого части первой статьи 394 «Подача заявления, представления о пересмотре судебных постановлений по вновь открывшимся или новым обстоятельствам» и пункта 1 статьи 395 «Исчисление срока подачи заявления, представления о пересмотре судебных постановлений по вновь открывшимся или новым обстоятельствам» ГПК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25 июня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Рубанова Виктора Макаровича,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