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частью второй статьи 61 и частью первой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И.А.Сысоев, дела с участием которого неоднократно рассматривались судами различных инстанций, оспаривает конституционность части второй статьи 61 «Основания для освобождения от доказывания» и части первой статьи 112 «Восстановление процессуальных сроков» ГПК Российской Федерации. По мнению заявителя, оспариваемые законоположения противоречат Конституции Российской Федерации, ее статьям 2, 15, 17–19, 45, 46, 55 и 751, поскольку позволяют судам при одних и тех же фактических обстоятельствах 2 устанавливать как наличие, так и отсутствие оснований для восстановления пропущенных сроков.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