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ООО «Аксаковское подворье»), дела с участием которого неоднократно рассматривались арбитражными судами различных инстанций, оспаривает конституционность статей 1 «Осуществление правосудия арбитражными судами», 2 «Задачи судопроизводства в арбитражных судах», 3 «Законодательство о судопроизводстве в арбитражных судах», 4 «Право на обращение в арбитражный суд», 5 «Независимость судей арбитражных судов», 6 «Законность при рассмотрении дел арбитражным судом», 8 «Равноправие сторон», 9 «Состязательность», части 4 статьи 15 «Судебные акты арбитражного суда, 2 Верховного Суда Российской Федерации», статей 65 «Обязанность доказывания», 66 «Представление и истребование доказательств», 67 «Относимость доказательств», 68 «Допустимость доказательств», 71 «Оценка доказательств», 125 «Форма и содержание искового заявления», 126 «Документы, прилагаемые к исковому заявлению», 133 «Задачи подготовки дела к судебному разбирательству», 135 «Действия по подготовке дела к судебному разбирательству» и 170 «Содержание решения» АПК Российской Федерации. По мнению заявителя,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46 (часть 1), 55 (часть 3), 56 (часть 3), 118 (часть 2), 120 (часть 1) и 123 (часть 3) Конституции Российской Федерации, поскольку позволяют арбитражному суду рассматривать не указанные истцом требования, вопросы и их обоснование, а также не излагать в резолютивной части решения каждое из заявленных исковых требований, в том числе какие из них были удовлетворены, а в удовлетворении каких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«Аксаковское подворье» в обоснование своей позиции, свидетельствуют о том, что нарушение конституционных прав оно связывает не с содержанием оспариваемых законоположений, а с тем, что арбитражными судами, по его мнению, должным образом не были рассмотрены заявленные им исковые требования и представленные в их обоснование доказательства. Разрешение же данного вопроса, как предполагающее оценку правомерности судебных актов, принятых по делу с участием заявителя,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