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Бурденкова Алексея Викторовича на нарушение его конституционных прав статьей 691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А.В.Бурденкова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А.В.Бурденков, заявление которого об установлении факта, имеющего юридическое значение, оставлено без рассмотрения, оспаривает конституционность статьи 691 «Выявление правообладателей ранее учтенных объектов недвижимости» Федерального закона от 13 июля 2015 года № 218-ФЗ «О государственной регистрации недвижимости». По мнению заявителя, оспариваемая норма не соответствует статьям 1, 2, 17 (часть 3), 18, 35 (части 1 и 2), 46 (часть 1), 55 (часть 2) и 120 (часть 2) Конституции Российской Федерации, поскольку она не позволяет в судебном порядке установить факт отсутствия слова в тексте договора.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второй статьи 96 Федерального конституционного закона «О Конституционном Суде Российской Федерации» к жалобе должны быть приложены судебные решения, подтверждающие, в частности, применение обжалуемого нормативного акта судом при разрешении конкретного дела.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Бурденкова Алексея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