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Волосенковой Галины Андреевны на нарушение ее конституционных прав пунктом 1 статьи 1102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Г.А.Волосенковой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Г.А.Волосенкова оспаривает конституционность пункта 1 статьи 1102 ГК Российской Федерации, устанавливающего,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данного Кодекса. Как следует из представленных материалов, решением мирового судьи, оставленным без изменения определением суда апелляционной инстанции, Г.А.Волосенковой отказано в удовлетворении требования о взыскании 2 неосновательного обогащения за пользование чужими денежными средствами. Определением суда кассационной инстанции постановления нижестоящих судов оставлены без изменения. По мнению заявительницы, оспариваемое положение противоречит Конституции Российской Федерации, ее статьям 15 (часть 2), 19 (часть 1), 35 (части 1 и 2) и 46 (часть 1), поскольку по смыслу, придаваемому ему правоприменительной практикой, оно допускает возможность отказа во взыскании неосновательного обогащения вследствие отсутствия выполнения работ.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Г.А.Волосенковой в обоснование своей позиции, свидетельствуют о том, что она, формально оспаривая конституционность пункта 1 статьи 1102 ГК Российской Федерации, фактически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Волосенковой Галины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