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статьей 395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оспаривает конституционность статьи 395 Трудового кодекса Российской Федерации, согласно которой при признании органом, рассматривающим индивидуальный трудовой спор, денежных требований работника обоснованными они удовлетворяются в полном размере. По мнению заявителя, оспариваемая норма противоречит Конституции Российской Федерации, в частности ее статьям 1 (часть 1), 2, 7 (часть 2), 17 (часть 3), 18, 19, 37 (части 1–3 и 5), 45, 46 (часть 1), 55, 64 и 123 (часть 3), поскольку позволяет суду ограничивать ее применение положениями статьи 2 392 Трудового кодекса Российской Федерации и отказывать во взыскании с работодателя заработной платы работника за весь период работы.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395 Трудового кодекса Российской Федерации носит гарантийный характер и в системной связи со статьей 392 данного Кодекса не препятствует удовлетворению денежных требований в полном размере при условии признания этих требований правомерными органом, рассматривающим индивидуальный трудовой спор. Как следует из жалобы, заявитель, полагая, что оспариваемая норма не содержит ограничения периода взыскания денежных сумм с работодателя, настаивает на ее применении в его деле. Однако разрешение данного вопроса не относится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