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Евгении Юрьевны на нарушение ее конституционных прав статьей 134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Е.Ю.Смирнова оспаривает конституционность статьи 134 Трудового кодекса Российской Федерации,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– в порядке, установленном коллективным договором, соглашениями, локальными нормативными актами. 2 По мнению заявительницы, оспариваемая норма, примененная в ее деле судом, противоречит статьям 17, 19 (части 1 и 2), 37, 45 (часть 1), 46 (часть 1) и 55 (часть 3) Конституции Российской Федерации, поскольку при отсутствии критериев и механизма индексации заработной платы предоставляет работодателю ничем не ограниченное право устанавливать по своему выбору механизм и размер индексации или иного повышения уровня реального содержания заработной платы.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Евгении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