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Божефатовой Валентины Николаевны на нарушение ее конституционных прав статьей 390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гражданки В.Н.Божефатовой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В.Н.Божефатова оспаривает конституционность статьи 390 «Полномочия кассационного суда общей юрисдикции» ГПК Российской Федерации. Как следует из представленных материалов, определением кассационного суда общей юрисдикции оставлены без изменения судебные постановления судов первой и апелляционной инстанций, принятые по делу с участием В.Н.Божефатовой. Определением судьи Верховного Суда Российской Федерации заявительнице было отказано в передаче кассационной жалобы для 2 рассмотрения в судебном заседании Судебной коллегии по гражданским делам этого суда. В связи с этим В.Н.Божефатова просит признать статью 390 ГПК Российской Федерации не соответствующей Конституции Российской Федерации, поскольку при рассмотрении ее кассационных жалоб, в том числе судьей Верховного Суда Российской Федерации, были нарушены нормы процессуального и материального права.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Божефатовой Валентины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