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Шамарова Ивана Владимировича на нарушение его конституционных прав частью первой статьи 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И.В.Шамарова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И.В.Шамаров, осужденный по приговору суда, просит признать часть первую статьи 16 «Обеспечение подозреваемому и обвиняемому права на защиту» УПК Российской Федерации не соответствующей статьям 17 (часть 1) и 49 (часть 1)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предоставляет судье неограниченное право решать, какими именно правами подсудимый может пользоваться в суде, а при ограничении 2 им прав подсудимого не позволяет вышестоящим судебным инстанциям повлиять на такое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 УПК Российской Федерации, закрепляющая в качестве принципа уголовного судопроизводства обеспечение подозреваемому и обвиняемому права на защиту, которое они могут реализовать всеми не запрещенными этим Кодексом способами и средствами, имеет гарантийный характер, направлена на обеспечение прав участников уголовного процесса и не может расцениваться в качестве нарушающей конституционные права граждан. Проверка же правомерности судебных решений по конкретному делу с учетом его обстоятельств, к чему, по существу, сводятся доводы заявителя,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Шамарова Ивана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