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«Форма» на нарушение его конституционных прав статьями 309, 310 и 971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«Форма»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«Форма» (далее также – ООО «Форма», общество), которому отказано в удовлетворении исковых требований о взыскании убытков в связи с ненадлежащим исполнением обязательства, оспаривает конституционность статей 309 «Общие положения», 310 «Недопустимость одностороннего отказа от исполнения обязательства» и 971 «Договор поручения» ГК Российской Федерации. По мнению общества, оспариваемые положения не соответствуют статьям 8 (часть 2), 17 (часть 3), 18, 19, 35, 45, 46, 55 и 123 (часть 3) Конституции Российской Федерации в той мере, в какой они препятствуют 2 защите в судебном порядке требований, основанных на неисполнении обязательств по оказанию услуг на возмездной основе по договору поручения, а именно позволяют судам отказывать в защите требований, основанных на нарушении обязательств поверенным, предоставляющим соответствующие услуги без достижения их конечного результата, а также на одностороннем отказе от исполнения обязательств по договору.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«Форма», поскольку она не отвечает 3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