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абзацем вторым части первой статьи 394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абзаца второго части первой статьи 394 «Подача заявления, представления о пересмотре судебных постановлений по вновь открывшимся или новым обстоятельствам»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И.А.Сысоеву отказано в удовлетворении заявления о пересмотре вступившего в законную силу решения суда по новым обстоятельствам. 2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И.А.Сысоева, абзац второй части первой статьи 394 ГПК Российской Федерации по смыслу, придаваемому ему правоприменительной практикой, а также рассматриваемый во взаимосвязи с абзацем первым части первой этой статьи и частью первой статьи 397 «Определение суда о пересмотре судебных постановлений по вновь открывшимся или новым обстоятельствам» данного Кодекса, противоречит Конституции Российской Федерации, ее статьям 19 (части 1 и 2), 21 (часть 1), 45, 46 (часть 1) и 55, поскольку его произвольное применение позволило суду обосновать свои выводы документами, поданными заявителем в другой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И.А.Сысоевым в обоснование своей позиции, свидетельствуют о том, что нарушение конституционных прав он связывает не с содержанием оспариваемого законоположения, а с процессуальными нарушениями, допущенными, как он полагает, судом. Разрешение же данного вопроса, требующее оценки правомерности принятых по делу заявителя судебных постановлений,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