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Замановой Натальи Валерьевны на нарушение ее конституционных прав положениями Жилищного кодекса Российской Федерации и статьей 13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Н.В.Замановой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Н.В.Заманова оспаривает конституционность следующих законоположений: статьи 93 «Назначение служебных жилых помещений», части 2 статьи 102 «Прекращение договора найма специализированного жилого помещения», частей 1 и 2 статьи 103 «Выселение граждан из специализированных жилых помещений» и части 3 статьи 104 «Предоставление служебных жилых помещений» Жилищного кодекса Российской Федерации; статьи 13 Федерального закона от 29 декабря 2004 года № 189-ФЗ «О введении в действие Жилищного кодекса Российской Федерации» о запрете 2 на выселение определенной категории граждан из служебных жилых помещений и жилых помещений в общежитиях без предоставления других жилых помещений. По мнению заявительницы, оспариваемые законоположения в силу своей неопределенности не соответствуют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с момента вынесения судебных постановлений, применительно к которым заявительницей оспариваются указанные законоположения, и до подачи ею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Замановой Натальи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