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Кармановой Фанзии Тимеряновны на нарушение ее конституционных прав статьей 29 (часть 2) Конституции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Ф.Т.Кармановой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Ф.Т.Карманова, которой вступившим в законную силу решением суда общей юрисдикции отказано в удовлетворении ее исковых требований о защите чести, достоинства, деловой репутации и компенсации морального вреда, оспаривает конституционность статьи 29 (часть 2)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и Федеральный конституционный закон «О Конституционном Суде Российской Федерации» не наделяют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Кармановой Фанзии Тимеряновны, поскольку разрешение поставленного заявительницей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