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Земцева Михаила Владимировича на нарушение его конституционных прав Федеральным конституционным законом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М.В.Земцева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Федерального конституционного закона от 21 июля 1994 года № 1-ФКЗ «О Конституционном Суде Российской Федерации». По мнению заявителя, оспариваемый Федеральный конституционный закон нарушает его права, а потому противоречит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Определением Конституционного Суда Российской Федерации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Земцева Михаила Владимировича,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