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1579-О/2023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Терентьевой Ирины Борисовны на нарушение ее конституционных прав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гражданки И.Б.Терентьевой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И.Б.Терентьева полагает, что проект федерального закона «О внесении изменений в отдельные законодательные акты Российской Федерации в связи с внедрением цифрового рубля» нарушает ее конституционные права, гарантированные статьями 23, 24, 35, 37, 39 и 75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В соответствии с пунктом «а» части 4 статьи 125 Конституции Российской Федерации во взаимосвязи с конкретизирующими его положениями пункта 3 части первой статьи 3 и статьей 96 Федерального конституционного закона «О Конституционном Суде Российской Федерации» правом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Терентьевой Ирины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