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Буховецкого Евгения Владимировича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Е.В.Буховецкого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Е.В.Буховецкий оспаривает конституционность статей 27, 36, 84, 175–180, 218, 219, 226, 227, 2271, 309, 310, 318, 319, 326, 328, 329 и 330 КАС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заявителю отказано в удовлетворении его административного искового заявления об оспаривании бездействия ряда государственных органов и 2 взыскании денежной компенсации за нарушение условий содержания под стражей. По мнению заявителя, оспариваемые нормы нарушают его право на судебную защиту, а потому противоречат статьям 17 (часть 1), 19 (части 1 и 3), 21, 46, 47 (часть 1), 55 (часть 2) и 56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 относительно неконституционности оспариваемых им норм, свидетельствуют о том, что, формально оспаривая конституционность перечисленных положений, он фактически настаивает на проверке правомерности судебных актов по конкретному делу, что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Буховецкого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