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1708-О/2023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Димитренко Андрея Валентиновича на нарушение его конституционных прав частью первой статьи 17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А.В.Димитренко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А.В.Димитренко утверждает, что часть первая статьи 17 «Свобода оценки доказательств» УПК Российской Федерации противоречит статье 49 (часть 3) Конституции Российской Федерации, поскольку она позволила суду вынести в отношении него обвинительный приговор при наличии неустранимых сомнений в его виновности.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2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в частности, если она подана в срок не позднее одного года после принятия судебного решения, которым исчерпываются внутригосударственные средства судебной защиты. Как следует из представленных материалов, обвинительный приговор в отношении А.В.Димитренко вынесен в 2019 году, в 2020 году проверен судами апелляционной и кассационной инстанций. В 2021 году постановлением судьи Верховного Суда Российской Федерации заявителю отказано в передаче кассационной жалобы для рассмотрения в судебном заседании суда кассационной инстанции, с чем согласился заместитель Председателя этого суда. 28 апреля 2022 года судьей Верховного Суда Российской Федерации очередная кассационная жалоба А.В.Димитренко возвращена без рассмотрения как повторная. Следовательно, А.В.Димитренко пропущен годичный срок для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Димитренко Андрея Валентиновича,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