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«КрасТендер» на нарушение его конституционных прав частью 3 статьи 17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«КрасТендер»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«КрасТендер» (далее также – общество) оспаривает конституционность части 3 статьи 17 «Антимонопольные требования к торгам, запросу котировок цен на товары, запросу предложений» Федерального закона от 26 июля 2006 года № 135-ФЗ «О защите конкуренции». Решением арбитражного суда, с которым согласились суды вышестоящих инстанций, отказано в удовлетворении заявления общества к антимонопольному органу о признании незаконным решения, которым 2 жалоба данного общества на действия заказчиков и организатора совместного аукциона признана необоснованной. По мнению заявителя, оспариваемая норма противоречит статье 8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конкретного дела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«КрасТендер»,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