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Алисовой Нины Михайловны на нарушение ее конституционных прав статьями 15 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Н.М.Алисовой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Н.М.Алисова, исковые требования которой о возмещении ущерба, причиненного заливом квартиры, удовлетворены частично, оспаривает конституционность статей 15 «Возмещение убытков» и 1064 «Общие основания ответственности за причинение вреда» ГК Российской Федерации. Заявительница полагает, что оспариваемые нормы по смыслу, придаваемому им правоприменительной практикой, не соответствуют статье 35 (часть 1) Конституции Российской Федерации, а также просит Конституционный Суд Российской Федерации отменить судебные постановления по ее делу.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представленные заявительницей копии постановлений судов первой и апелляционной инстанций, а также определения кассационного суда общей юрисдикции не позволяют сделать вывод об исчерпании ею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Алисовой Нины Михайловны,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