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Янова Ивана Александровича на нарушение его конституционных прав пунктом 2 статьи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И.А.Янов, иск которого о взыскании компенсации морального вреда удовлетворен частично судом первой инстанции, оспаривает конституционность пункта 2 статьи 1101 «Способ и размер компенсации морального вреда» ГК Российской Федерации. По мнению заявителя, оспариваемое положение не соответствует Конституции Российской Федерации, поскольку оно во взаимосвязи с пунктом 1 статьи 1070 и статьей 1100 ГК Российской Федерации допускает определение размера компенсации морального вреда в зависимости от степени вины должностных лиц органов дознания, прокуратуры или суда, что приводит к значительному снижению размера компенсации.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Представленное И.А.Яновым решение суда первой инстанции по спору о взыскании компенсации морального вреда не подтверждает исчерпания им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Янова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