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3404-О/2023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Мироненко Людмилы Яковлевны на нарушение ее конституционных прав статьями 3907 и 3909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Л.Я.Мироненко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Л.Я.Мироненко, которой определением судьи Верховного Суда Российской Федерации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Федерации, оспаривает конституционность статей 3907 «Рассмотрение кассационных жалобы, представления» 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2 По мнению заявительницы, применением оспариваемых норм были нарушены ее права, гарантированные статьями 17–19, 35, 53 и 55 Конституции Российской Федерации. Кроме того, Л.Я.Мироненко просит Конституционный Суд Российской Федерации удовлетворить ее исковые требования, заявленные в суде общей юрисдикции.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Мироненко Людмилы Яковлевны,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