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частью первой статьи 133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 утверждает, что часть первая статьи 133 «Основания возникновения права на реабилитацию» УПК Российской Федерации противоречит статьям 21 (часть 1), 22 (часть 1), 23 (часть 1), 46 (часть 1) и 53 Конституции Российской Федерации, поскольку позволяет суду отказать в возмещении вреда, причиненного незаконным задержанием подозреваемого, ввиду того, что по уголовному делу уже присуждена и получена компенсация за незаконное привлечение к уголовной ответственности.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приложенных к жалобе материалов, определением суда, оставленным без изменения судами апелляционной и кассационной инстанций, прекращено производство по иску С.Н.Тихомирова о возмещении морального вреда ввиду незаконного задержания, поскольку ранее он реализовал право на реабилитацию по уголовному делу, в том числе как лицо, незаконно подвергнутое мерам процессуального принуждения на стадии предварительного расследования, и его исковые требования частично удовлетворены соответствующим судебным решением. При таких обстоятельствах нет оснований полагать, что частью первой статьи 133 УПК Российской Федерации, регулирующей объем реабилитации, нарушены права заявителя в обозначенном им аспекте.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