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Милидонова Михаила Геннадьевича на нарушение его конституционных прав частью тринадцатой статьи 109 и частью четвертой статьи 38911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М.Г.Милидонова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М.Г.Милидонов, привлеченный к уголовной ответственности, просит признать не соответствующими статьям 15 (часть 3), 18, 45 (часть 2), 46 (часть 1) и 123 (части 2 и 3) Конституции Российской Федерации часть тринадцатую статьи 109 «Сроки содержания под стражей» и часть четвертую статьи 38911 «Назначение и подготовка заседания суда апелляционной инстанции» УПК Российской Федерации. По мнению заявителя, данные нормы позволяют судам вышестоящих инстанций в случае отмены приговора продлевать, а также изменять меру пресечения в виде заключения под стражу в отсутствие обвиняемого, отказавшегося от участия 2 в рассмотрении апелляционной, кассационной жалоб (представлений) на приговор.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М.Г.Милидонов оспаривал конституционность, в частности, части тринадцатой статьи 109 и части четвертой статьи 38911 УПК Российской Федерации в аналогичном аспекте в предшествующей жалобе, по результатам изучения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Милидонова Михаила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