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Антипина Александра Владимировича на нарушение его конституционных прав Федеральным законом «Об исполнительном производстве» и Федеральным законом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А.В.Антипина вопрос о возможности принятия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А.В.Антипин оспаривает конституционность Федерального закона от 21 июля 1997 года № 118-ФЗ «Об органах принудительного исполнения Российской Федерации» и Федерального закона от 2 октября 2007 года № 229-ФЗ «Об исполнительном производстве». По мнению заявителя, оспариваемые федеральные законы не обладают юридической силой, поскольку они были приняты органами, не уполномоченными осуществлять законодательную власть, а также были опубликованы с нарушением установленного порядка.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Антипина Александра Владимировича,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