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2276-О/2024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Соловьевой Надежды Алексеевны и Соловьевой Светланы Валерьевны на нарушение их конституционных прав пунктом 3 части второй статьи 131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Н.А.Соловьевой и С.В.Соловьевой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Н.А.Соловьева и С.В.Соловьева, исковое заявление которых о признании заключенного между ними договора дарения недействительным, применении последствий недействительности сделки было оставлено судом без движения, оспаривают конституционность пункта 3 части второй статьи 131 «Форма и содержание искового заявления» ГПК Российской Федерации. По мнению заявительниц, оспариваемое законоположение нарушает их права, гарантированные статьями 45 и 46 (часть 1) Конституции 2 Российской Федерации, поскольку обязывает стороны договора дарения указать в исковом заявлении о применении последствий недействительности этой сделки одну из ее сторон в качестве ответчика.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прав заявителя. Между тем заявительницами представлено только определение суда первой инстанции об оставлении поданного ими искового заявления без движения, что не позволяет сделать вывод об исчерпании ими внутригосударственных средств судебной защиты.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Соловьевой Надежды Алексеевны и Соловьевой Светланы Валерьевны,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