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Дворниковой Галины Владимировны на нарушение ее конституционных прав статьей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Г.В.Дворниковой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Г.В.Дворникова оспаривает конституционность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Как следует из представленных материалов, решением мирового судьи, с которым согласились суды вышестоящих инстанций, отказано в удовлетворении требований Г.В.Дворниковой, направленных на защиту прав потребителя. В обоснование иска было среди прочего указано, что товар имел существенный недостаток, что дает право на отказ от него. Суды, 2 установив устранение по требованию потребителя выявленного дефекта товара в период гарантийного срока на безвозмездной основе и отсутствие в нем каких-либо недостатков, пришли к выводу об отсутствии оснований для удовлетворения требований. По мнению заявительницы, оспариваемая норма противоречит статье 17 Конституции Российской Федерации, поскольку в силу своей неопределенности не содержит четких, ясных и недвусмысленных критериев для определения нормативного содержания понятия «существенный недостаток товара», препятствуя реализации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Г.В.Дворниковой в обоснование своей позиции, свидетельствуют о том, что, формально оспаривая конституционность статьи 18 Закона Российской Федерации «О защите прав потребителей», она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постановлений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Дворниковой Галины Владимировны,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