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Никулинского Леонида Александровича на нарушение его конституционных прав статьями 30 и 34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Л.А.Никулинского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Л.А.Никулинский утверждает, что статьи 30 «Состав суда» и 34 «Передача уголовного дела по подсудности» УПК Российской Федерации повлекли неправильное определение подсудности уголовного дела, по которому он осужден и отбывает наказание, чем нарушили права, гарантированные ему статьями 47 и 50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Между тем Л.А.Никулинским пропущен указанный годичный срок, поскольку последний из представленных им судебных актов – постановление судьи Верховного Суда Российской Федерации об отказе в передаче кассационной жалобы для рассмотрения в судебном заседании суда кассационной инстанции – вынесен 10 февраля 2020 года.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Никулинского Леонида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