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3221-О/2023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Мусатова Дмитрия Александровича на нарушение его конституционных прав статьями 91, 92, 109 и 110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Д.А.Мусатова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Д.А.Мусатов, содержащийся под стражей, просит проверить конституционность статей 91 «Основания задержания подозреваемого», 92 «Порядок задержания подозреваемого», 109 «Сроки содержания под стражей» и 110 «Отмена или изменение меры пресечения» УПК Российской Федерации. По мнению заявителя, оспариваемые законоположения противоречат Конституции Российской Федерации, поскольку допускают незаконное задержание лица в качестве подозреваемого без участия адвокатов, а также 2 продление срока содержания под стражей в ходе досудебного производства сверх его максимального предела.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Как следует из жалоб, Д.А.Мусатов излагает доводы о нарушениях закона, допущенных, по его мнению, при его задержании в качестве подозреваемого, утверждает, что суд незаконно продлил срок содержания под стражей, указывает на несоответствие Конституции Российской Федерации определения Верховного Суда Российской Федерации. Тем самым, по существу, заявитель предлагает Конституционному Суду Российской Федерации дать оценку не нормам закона, а действиям и решениям правоприменителей по конкретному делу, что требует исследования его фактических обстоятельств и выходит за рамки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Мусатова Дмитрия Александровича,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