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Мальцева Андрея Анатольевича на нарушение его конституционных прав статьей 51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А.А.Мальцева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А.А.Мальцев оспаривает конституционность статьи 51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устанавливающей порядок применения к сотрудникам органов внутренних дел мер поощрения и порядок наложения на них дисциплинарных взысканий. По мнению заявителя, оспариваемая норма не соответствует статьям 17 и 37 (часть 2) Конституции Российской Федерации, поскольку по смыслу, придаваемому правоприменительной практикой, она наделяет руководителя 2 (начальника) органа дознания правом наложения дисциплинарного взыскания на сотрудников следственных подразделений органов внутренних дел за нарушения, допущенные при расследовании уголовных дел, а также позволяет привлекать к дисциплинарной ответственности следователя (руководителя структурного подразделения органа внутренних дел) за вынесенное по уголовному делу процессуальное решение, которое впоследствии не было отменено в порядке, установленном действующим законодательством.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Мальцева Андрея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