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Волковой Ольги Анатольевны на нарушение ее конституционных прав пунктами 1 и 2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О.А.Волковой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О.А.Волкова, на которую возложена обязанность опубликовать на одном из определенных судом интернет-ресурсов видеозапись, содержащую опровержение распространенных ранее сведений, не соответствующих действительности и порочащих деловую репутацию общества с ограниченной ответственностью, оспаривает конституционность пунктов 1 и 2 статьи 152 «Защита чести, достоинства и деловой репутации» ГК Российской Федерации. По мнению заявительницы, оспариваемые нормы не соответствуют Конституции Российской Федерации, ее статье 29, поскольку позволяют 2 возложить на гражданина обязанность опубликовать опровержение в иностранных средствах массовой информации и (или) на иностранных информационных ресурсах, допускающих систематическое неисполнение законодательства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О.А.Волковой в жалобе (в частности, о том, что суды допустили существенные нарушения норм материального и процессуального права, не исследовали обстоятельства размещения и удаления спорной видеозаписи), свидетельствуют о том, что она, по существу, предлагает Конституционному Суду Российской Федерации оценить обоснованность судебных актов, принятых по делу с ее участием. Между тем разрешение таких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Волковой Ольги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