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2487-О/2023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Делекторского Дмитрия Николаевича на нарушение его конституционных прав пунктом 1 статьи 166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Д.Н.Делекторского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Д.Н.Делекторский оспаривает конституционность пункта 1 статьи 166 «Оспоримые и ничтожные сделки» ГК Российской Федерации. Как следует из представленных материалов, решением суда, с которым согласились вышестоящие суды, с Д.Н.Делекторского в пользу коммерческой организации по агентскому договору взысканы долг и неустойка, отказано в удовлетворении встречного иска о признании агентского договора недействительным. 2 По мнению заявителя, пункт 1 статьи 166 ГК Российской Федерации противоречит Конституции Российской Федерации, поскольку нарушает его право на судебную защиту.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Предусмотренный названной нормой Федерального конституционного закона «О Конституционном Суде Российской Федерации» годичный срок после рассмотрения дела гражданина судом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Делекторского Дмитрия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