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Дубовича Ивана Юрьевича на нарушение его конституционных прав пунктом 1 статьи 5 и частью третьей статьи 14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И.Ю.Дубовича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И.Ю.Дубович, осужденный и отбывающий наказание, утверждает, что пунктом 1 статьи 5 «Основные понятия, используемые в настоящем Кодексе» и частью третьей статьи 14 «Презумпция невиновности» УПК Российской Федерации при рассмотрении его уголовного дела в судах было ограничено право на защиту и нарушено право, гарантированное статьей 49 (часть 3)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5 УПК Российской Федерации определяет алиби как нахождение подозреваемого или обвиняемого в момент совершения преступления в другом месте, а часть третья статьи 14 того же Кодекса фактически воспроизводит положение статьи 49 (часть 3) Конституции Российской Федерации о толковании неустранимых сомнений в виновности лица в пользу обвиняемого. Как следует из жалобы, не приводя правового обоснования неконституционности указанных норм, И.Ю.Дубович утверждает, что судами не было учтено наличие у него алиби, и тем самым, по существу, предлагает Конституционному Суду Российской Федерации дать оценку не нормам закона, а приговору и последующим судебным актам. Между тем решение данного вопроса требует исследования фактических обстоятельств уголовного дела и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Дубовича Ивана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