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Цилюрик Светланы Владимировны на нарушение ее конституционных прав и конституционных прав ее несовершеннолетнего сына Уголовно- процессуальным кодексом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С.В.Цилюрик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С.В.Цилюрик, действующая в своих интересах и в интересах несовершеннолетнего сына, указывает на наличие в Уголовно- процессуальном кодексе Российской Федерации пробела относительно полномочий прокурора и суда, касающихся отмены постановлений органов следствия и дознания, что, по ее мнению, нарушает права, гарантированные статьями 46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Конституционному Суду Российской Федерации не подведомственно восполнение имеющихся, по мнению заявителя, пробелов в правовом регулировании (определения Конституционного Суда Российской Федерации от 18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Цилюрик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