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Мухиной Елены Владимировны на нарушение ее конституционных прав частью первой статьи 42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Е.В.Мухиной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Е.В.Мухина просит признать не соответствующими статьям 2, 4, 15, 17–19, 35, 45, 46, 52, 53, 55 и 123 Конституции Российской Федерации часть первую статьи 42 «Потерпевший» и часть первую статьи 125 «Судебный порядок рассмотрения жалоб» УПК Российской Федерации, утверждая, что данные нормы вследствие своей неопределенности допускают отказ суда в признании лица по его ходатайству потерпевшим от преступления независимо от факта возбуждения правоохранительными органами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Мухиной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