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положением части второй статьи 142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положения части второй статьи 142 Трудового кодекса Российской Федерации, согласно которому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По мнению заявителя, оспариваемое законоположение, примененное в его деле судом, противоречит Конституции Российской Федерации, в частности ее статьям 1, 19, 37, 45, 46 и 55, поскольку не позволяет работнику приостановить работу в соответствии с данной нормой в случае несогласия с размером начисленной и выплаченной ему заработной платы.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работника приостановить работу в случае задержки выплаты заработной платы, закрепленное частью второй статьи 142 Трудового кодекса Российской Федерации, направлено на обеспечение реализации работником права на своевременную и полную выплату заработной платы; обстоятельства, которые послужили причиной приостановления работы, могут быть проверены в судебном порядке. Таким образом, оспариваемая норма не может рассматриваться как нарушающая права работников.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