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подпунктами «б» и «в» пункта 5 части 1 статьи 13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С.Б.Козловой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подпунктов «б» и «в» пункта 5 части 1 статьи 13 «Требования, предъявляемые к исполнительным документам» Федерального закона от 2 октября 2007 года № 229-ФЗ «Об исполнительном производстве». По ее мнению, оспариваемые законоположения по смыслу, придаваемому им в системе действующего правового регулирования сложившейся правоприменительной практикой, противоречат Конституции Российской Федерации, ее статьям 17 (часть 3), 19 (части 1 и 2), 45 (часть 1), 46 (часть 1) и 55 (части 2 и 3).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С.Б.Козловой в обоснование своей позиции, свидетельствуют о том, что нарушение конституционных прав она связывает не с содержанием оспариваемых законоположений, а с неправильным, как она полагает, применением должностными лицами и судами норм права. Между тем оценка правомерности вынесенных по конкретному делу правоприменительных решений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