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Мельник Любови Николаевны на нарушение ее конституционных прав статьями 125 и 127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Л.Н.Мельник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Л.Н.Мельник, неоднократно обращавшаяся в суд с жалобами в порядке статьи 125 УПК Российской Федерации, утверждает, что статьи 125 «Судебный порядок рассмотрения жалоб» и 127 «Жалоба и представление на приговор, определение, постановление суда» УПК Российской Федерации не соответствуют Конституции Российской Федерации, поскольку позволяют суду произвольно отказывать в принятии жалобы к производству, ограничивая доступ граждан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Как следует из жалоб, поставив вопрос о проверке конституционности статей 125 и 127 УПК Российской Федерации, Л.Н.Мельник аргументирует свою позицию обстоятельствами ее обращений в суды и утверждает о незаконности вынесенных по ним судебных актов. Тем самым, по существу, заявительница предлагает Конституционному Суду Российской Федерации оценить законность и обоснованность судебных решений, что выходит за рамки полномочий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Мельник Любови Николаевны,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