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Курьякова Андрея Александровича на нарушение его конституционных прав статьей 269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А.А.Курьякова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А.А.Курьяков оспаривает конституционность статьи 269 «Полномочия арбитражного суда апелляционной инстанции» АПК Российской Федерации. По мнению заявителя, данная норма, примененная арбитражным судом апелляционной инстанции в деле с его участием, рассмотрение которого завершено, противоречит статьям 19, 46, 118 и 123 Конституции Российской Федерации, поскольку она позволяет суду произвести зачет встречных однородных требований сторон без установления их точного размера.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269 АПК Российской Федерации, устанавливающая полномочия арбитражного суда апелляционной инстанции, во взаимосвязи с иными предписаниями главы 34 данного Кодекса имеет своей целью исправление возможных ошибок арбитражных судов первой инстанции, не регулирует вопросов зачета встречных однородных требований, а потому не может расцениваться как нарушающая конституционные права заявителя, перечисленные в жалобе, в указанном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Курьякова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