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pStyle w:val="Heading1"/>
        <w:jc w:val="center"/>
      </w:pPr>
      <w:r>
        <w:rPr>
          <w:rFonts w:ascii="Times New Roman" w:hAnsi="Times New Roman" w:eastAsia="Times New Roman" w:cs="Times New Roman"/>
          <w:b/>
          <w:i w:val="0"/>
          <w:sz w:val="28"/>
        </w:rPr>
        <w:t>ПОСТАНОВЛЕНИЕ</w:t>
      </w:r>
    </w:p>
    <w:p>
      <w:pPr>
        <w:spacing w:after="80"/>
        <w:jc w:val="center"/>
      </w:pPr>
      <w:r>
        <w:rPr>
          <w:rFonts w:ascii="Times New Roman" w:hAnsi="Times New Roman" w:eastAsia="Times New Roman" w:cs="Times New Roman"/>
          <w:b/>
          <w:i w:val="0"/>
          <w:sz w:val="24"/>
        </w:rPr>
        <w:t>№ 16-П/2001</w:t>
      </w:r>
    </w:p>
    <w:p>
      <w:pPr>
        <w:spacing w:after="80"/>
        <w:jc w:val="center"/>
      </w:pPr>
      <w:r>
        <w:rPr>
          <w:rFonts w:ascii="Times New Roman" w:hAnsi="Times New Roman" w:eastAsia="Times New Roman" w:cs="Times New Roman"/>
          <w:b w:val="0"/>
          <w:i w:val="0"/>
          <w:sz w:val="22"/>
        </w:rPr>
        <w:t>город Москва</w:t>
      </w:r>
    </w:p>
    <w:p>
      <w:pPr>
        <w:spacing w:after="200"/>
        <w:jc w:val="center"/>
      </w:pPr>
      <w:r>
        <w:rPr>
          <w:rFonts w:ascii="Times New Roman" w:hAnsi="Times New Roman" w:eastAsia="Times New Roman" w:cs="Times New Roman"/>
          <w:b w:val="0"/>
          <w:i w:val="0"/>
          <w:sz w:val="22"/>
        </w:rPr>
        <w:t>13 декабря 2001 года</w:t>
      </w:r>
    </w:p>
    <w:p>
      <w:pPr>
        <w:spacing w:before="200" w:after="300"/>
        <w:pBdr>
          <w:bottom w:val="single" w:sz="6" w:space="1" w:color="000000"/>
        </w:pBdr>
      </w:pPr>
    </w:p>
    <w:p>
      <w:pPr>
        <w:pStyle w:val="Heading2"/>
        <w:jc w:val="center"/>
      </w:pPr>
      <w:r>
        <w:rPr>
          <w:rFonts w:ascii="Times New Roman" w:hAnsi="Times New Roman" w:eastAsia="Times New Roman" w:cs="Times New Roman"/>
          <w:b/>
          <w:i w:val="0"/>
          <w:sz w:val="22"/>
        </w:rPr>
        <w:t>Именем Российской федерации ПОСТАНОВЛЕНИЕ КОНСТИТУЦИОННОГО СУДА РОССИЙСКОЙ ФЕДЕРАЦИИ по делу о проверке конституционности части второй статьи 16 Закона города Москвы "Об основах платного землепользования в городе Москве" в связи с жалобой гражданки Т.В.Близинской</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Состав суда</w:t>
      </w:r>
    </w:p>
    <w:p>
      <w:pPr>
        <w:spacing w:after="120"/>
        <w:ind w:firstLine="720"/>
        <w:jc w:val="both"/>
      </w:pPr>
      <w:r>
        <w:rPr>
          <w:rFonts w:ascii="Times New Roman" w:hAnsi="Times New Roman" w:eastAsia="Times New Roman" w:cs="Times New Roman"/>
          <w:b w:val="0"/>
          <w:i w:val="0"/>
          <w:sz w:val="22"/>
        </w:rPr>
        <w:t>Конституционный Суд Российской Федерации в составе председательствующего Г.А.Гаджиева, судей Н.С.Бондаря, Н.В.Витрука, А.Л.Кононова, Т.Г.Морщаковой, Ю.Д.Рудкина, А.Я.Сливы, О.И.Тиунова, Б.С.Эбзеева, В.Г.Ярославцева, с участием гражданки Т.В.Близинской и ее представителей - адвокатов А.И.Игнатенко и О.В.Красовской, представителя Московской городской Думы - кандидата юридических наук А.В.Крылова, представителя Мэрии города Москвы - кандидата юридических наук А.В.Дмитриева, руководствуясь статьей 125 (часть 4) Конституции Российской Федерации, пунктом 3 части первой, частями второй и третьей статьи 3, пунктом 3 части второй статьи 22, статьями 36, 96, 97, 99 и 86 Федерального конституционного закона "О Конституционном Суде Российской Федерации", рассмотрел в открытом заседании дело о проверке конституционности части второй статьи 16 Закона города Москвы "Об основах платного землепользования в городе Москве". Поводом к рассмотрению дела явилась жалоба гражданки Т.В.Близинской на нарушение указанной нормой ее права владения и пользования закрепленным за ней земельным участком. Заслушав сообщение судьи-докладчика В.Г.Ярославцева, объяснения представителей сторон, заключения экспертов - докторов юридических наук И.А.Иконицкой и Н.А.Сыродоева, выступления приглашенных в заседание представителей: от Уполномоченного по правам человека в Российской Федерации - Т.С.Глазковой, от Верховного Суда Российской Федерации - судьи Верховного Суда Российской Федерации В.П.Василевской, от Генеральной прокуратуры Российской Федерации - В.С.Фомичева, исследовав представленные документы и иные материалы, Конституционный Суд Российской Федерации</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Обстоятельства дела</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Гражданка Т.В.Близинская проживает в поселке Косино города Москвы в жилом доме, расположенном на земельном участке площадью 0,2291 га. Имущественные права на этот участок, принадлежавшие ее семье с 1824 года, с 1913 года, как следует из представленных материалов, подтверждены документально. В 1963 году Т.В.Близинская, вступив в права наследства, на законных основаниях приобрела право собственности на дом и право на постоянное (бессрочное) пользование земельным участком. При переоформлении права землепользования рабочая комиссия префектуры Восточного административного округа города Москвы решением от 6 июня 1996 года закрепила за Т.В.Близинской право пожизненного наследуемого владения на 0,06 гектара, в отношении остальной части участка ей было предложено оформить договор аренды сроком на 49 лет. Преображенский межмуниципальный суд города Москвы, куда Т.В.Близинская обратилась с иском о признании права пожизненного наследуемого владения на земельный участок в полном размере, решением от 9 2 сентября 1997 года в удовлетворении ее требований отказал, сославшись в том числе на Закон города Москвы "Об основах платного землепользования в городе Москве". Поданные Т.В.Близинской кассационная и надзорные жалобы оставлены без удовлетворения. Городская комиссия по предоставлению земельных участков и градостроительному регулированию при Правительстве Москвы решением от 28 апреля 1999 года признала за ней право пожизненного наследуемого владения на 0,12 гектара. В отношении остальной части земельного участка вопрос остался нерешенным. В своей жалобе в</w:t>
      </w:r>
    </w:p>
    <w:p>
      <w:pPr>
        <w:pStyle w:val="Heading3"/>
      </w:pPr>
      <w:r>
        <w:rPr>
          <w:rFonts w:ascii="Times New Roman" w:hAnsi="Times New Roman" w:eastAsia="Times New Roman" w:cs="Times New Roman"/>
          <w:b/>
          <w:i w:val="0"/>
          <w:sz w:val="22"/>
        </w:rPr>
        <w:t>Пункт 2. Правовой анализ</w:t>
      </w:r>
    </w:p>
    <w:p>
      <w:pPr>
        <w:spacing w:after="120" w:before="160"/>
        <w:ind w:firstLine="720"/>
        <w:jc w:val="both"/>
      </w:pPr>
      <w:r>
        <w:rPr>
          <w:rFonts w:ascii="Times New Roman" w:hAnsi="Times New Roman" w:eastAsia="Times New Roman" w:cs="Times New Roman"/>
          <w:b/>
          <w:i w:val="0"/>
          <w:sz w:val="22"/>
        </w:rPr>
        <w:t xml:space="preserve">2. </w:t>
      </w:r>
      <w:r>
        <w:rPr>
          <w:rFonts w:ascii="Times New Roman" w:hAnsi="Times New Roman" w:eastAsia="Times New Roman" w:cs="Times New Roman"/>
          <w:b w:val="0"/>
          <w:i w:val="0"/>
          <w:sz w:val="22"/>
        </w:rPr>
        <w:t>До 1990 года в условиях существования исключительно государственной собственности на землю основной формой осуществления гражданами права владения и пользования земельными участками было постоянное (бессрочное) пользование, что имело целью гарантировать им устойчивость прав на землю и находящуюся на ней другую недвижимость. Признание за домовладельцем - пользователем земельного участка, на котором расположено домовладение, права постоянного (бессрочного) пользования этим земельным участком как своим имуществом исключало произвольное распоряжение им со стороны каких-либо иных субъектов права. В дальнейшем, в ходе проведения земельной реформы - как до, так и после принятия Конституции Российской Федерации, закрепившей право частной собственности на землю (статья 9, часть 2; статья 36, части 1 и 2), - законодатель, параллельно с процессом возрождения этой формы собственности, обеспечивал гражданам, по их выбору, возможность продолжать пользоваться земельными участками на праве постоянного (бессрочного) пользования, пожизненного наследуемого владения, аренды или временного пользования либо переоформить имеющийся правовой титул на любой иной. При этом во всяком случае исключалось как автоматическое изменение титулов прав на землю (переоформление осуществлялось по инициативе самих граждан), так и какое-либо ограничение права пользования земельным участком в связи с непереоформлением имеющегося правового титула. Такая линия развития земельной реформы последовательно выдерживалась в федеральном законодательстве, регулирующем правила переоформления прав на земельные участки. Согласно Закону Российской Федерации от 23 декабря 1992 года "О праве граждан Российской Федерации на получение в частную собственность и на продажу земельных участков для ведения личного подсобного и дачного хозяйства, садоводства и индивидуального жилищного строительства" граждане, имевшие на момент вступления данного Закона в силу земельные участки, размеры которых превышали предельные нормы, во всех случаях сохраняли право пожизненного наследуемого владения или пользования частью земельного участка, превышающей установленные предельные нормы. Указом Президента Российской Федерации от 7 марта 1996 года "О реализации конституционных прав граждан на землю" было установлено, что земельные участки, полученные гражданами до 1 января 1991 года и находящиеся в их пожизненном наследуемом владении и пользовании, в том числе сверх установленных предельных размеров, и используемые ими для ведения личного подсобного хозяйства, коллективного садоводства, жилищного либо дачного строительства, сохраняются за гражданами в полном размере; запрещалось обязывать граждан, имеющих указанные земельные участки, выкупать их или брать в аренду. Таким образом, независимо от того, была использована гражданами возможность переоформить право постоянного (бессрочного) пользования земельным участком на право пожизненного наследуемого владения или нет, - за ними сохранялись их прежние земельные участки (что в полной мере распространялось и на 3 заявительницу). Регулирование этих отношений, предусмотренное введенным в действие с 29 октября 2001 года Земельным кодексом Российской Федерации, также предоставляет каждому гражданину право однократно бесплатно приобрести в собственность находящийся в его постоянном (бессрочном) пользовании или в пожизненном наследуемом владении земельный участок (пункт 5 статьи 20 и пункт 3 статьи 21) и подтверждает, как это установлено Федеральным законом от 25 октября 2001 года "О введении в действие Земельного кодекса Российской Федерации", что предоставление в собственность граждан земельных участков, ранее переданных им в установленном земельным законодательством порядке в постоянное (бессрочное) пользование или пожизненное наследуемое владение, сроком не ограничивается.</w:t>
      </w:r>
    </w:p>
    <w:p>
      <w:pPr>
        <w:pStyle w:val="Heading3"/>
      </w:pPr>
      <w:r>
        <w:rPr>
          <w:rFonts w:ascii="Times New Roman" w:hAnsi="Times New Roman" w:eastAsia="Times New Roman" w:cs="Times New Roman"/>
          <w:b/>
          <w:i w:val="0"/>
          <w:sz w:val="22"/>
        </w:rPr>
        <w:t>Пункт 3. Правовой анализ</w:t>
      </w:r>
    </w:p>
    <w:p>
      <w:pPr>
        <w:spacing w:after="120" w:before="160"/>
        <w:ind w:firstLine="720"/>
        <w:jc w:val="both"/>
      </w:pPr>
      <w:r>
        <w:rPr>
          <w:rFonts w:ascii="Times New Roman" w:hAnsi="Times New Roman" w:eastAsia="Times New Roman" w:cs="Times New Roman"/>
          <w:b/>
          <w:i w:val="0"/>
          <w:sz w:val="22"/>
        </w:rPr>
        <w:t xml:space="preserve">3. </w:t>
      </w:r>
      <w:r>
        <w:rPr>
          <w:rFonts w:ascii="Times New Roman" w:hAnsi="Times New Roman" w:eastAsia="Times New Roman" w:cs="Times New Roman"/>
          <w:b w:val="0"/>
          <w:i w:val="0"/>
          <w:sz w:val="22"/>
        </w:rPr>
        <w:t>Конституционный принцип правового государства, возлагающий на Российскую Федерацию обязанность признавать, соблюдать и защищать права и свободы человека и гражданина как высшую ценность, предполагает установление правопорядка, который должен гарантировать каждому государственную защиту его прав и свобод (статья 1, часть 1; статьи 2, 17, 18 и 45, часть 1, Конституции Российской Федерации). Конституция Российской Федерации, обладающая высшей юридической силой и прямым действием (статья 15, часть 1), закрепляет основные начала, которыми государство должно руководствоваться в сфере признания и охраны в том числе имущественных прав граждан. При этом согласно статье 55 (часть 1) Конституции Российской Федерации перечисление в Конституции Российской Федерации основных прав и свобод не должно толковаться как отрицание или умаление других общепризнанных прав и свобод человека и гражданина. В контексте названных положений Конституции Российской Федерации право постоянного (бессрочного) пользования или пожизненного наследуемого владения земельным участком, которое согласно прежнему регулированию являлось титулом прав на недвижимость и одновременно выступало в качестве одной из гарантий права собственности гражданина на находящийся на этом участке жилой дом, позволяя вместе с тем в какой-то мере компенсировать отсутствие права собственности на землю, не может не рассматриваться как обеспечивающее основу жизнедеятельности людей и направленное на создание условий для достойной жизни и свободного развития личности. Соответственно, в отношении данного права действует конституционный механизм защиты от произвольного умаления или ограничения, что предполагает предоставление государственных гарантий лицам, имеющим на законных основаниях не подлежащие изъятию в соответствии с федеральным законом земельные участки. Согласно статье 35 (часть 3) Конституции Российской Федерации никто не может быть лишен своего имущества иначе как по решению суда. Раскрывая конституционно-правовой смысл понятия "имущество", использованного в данной статье,</w:t>
      </w:r>
    </w:p>
    <w:p>
      <w:pPr>
        <w:pStyle w:val="Heading3"/>
      </w:pPr>
      <w:r>
        <w:rPr>
          <w:rFonts w:ascii="Times New Roman" w:hAnsi="Times New Roman" w:eastAsia="Times New Roman" w:cs="Times New Roman"/>
          <w:b/>
          <w:i w:val="0"/>
          <w:sz w:val="22"/>
        </w:rPr>
        <w:t>Пункт 4. Правовой анализ</w:t>
      </w:r>
    </w:p>
    <w:p>
      <w:pPr>
        <w:spacing w:after="120" w:before="160"/>
        <w:ind w:firstLine="720"/>
        <w:jc w:val="both"/>
      </w:pPr>
      <w:r>
        <w:rPr>
          <w:rFonts w:ascii="Times New Roman" w:hAnsi="Times New Roman" w:eastAsia="Times New Roman" w:cs="Times New Roman"/>
          <w:b/>
          <w:i w:val="0"/>
          <w:sz w:val="22"/>
        </w:rPr>
        <w:t xml:space="preserve">4. </w:t>
      </w:r>
      <w:r>
        <w:rPr>
          <w:rFonts w:ascii="Times New Roman" w:hAnsi="Times New Roman" w:eastAsia="Times New Roman" w:cs="Times New Roman"/>
          <w:b w:val="0"/>
          <w:i w:val="0"/>
          <w:sz w:val="22"/>
        </w:rPr>
        <w:t>Согласно статье 55 Конституции Российской Федерации в Российской Федерации не должны издаваться законы, отменяющие или умаляющие права и свободы человека и гражданина (часть 2), а их конституционно допустимые ограничения возможны только на основании федерального закона (часть 3). Вопреки этому обеспечиваемое конституционной защитой право гражданина на владение и пользование своим имуществом в виде земельного участка, закрепленного за ним и подлежащего передаче ему на основе федерального регулирования в полном объеме в пожизненное наследуемое владение или в собственность, фактически умалено законом субъекта Российской Федерации. Положение части второй статьи 16 Закона города Москвы "Об основах платного землепользования в городе Москве", в соответствии с которым находящийся в пользовании гражданина земельный участок в части, превышающей предельные для города Москвы нормы площади, предоставляемой в пожизненное наследуемое владение, передается ему по договору аренды, ставит граждан, имеющих большемерные земельные участки, в менее выгодные условия, ограничивая их использование в полном размере сроком аренды и возлагая на этих граждан обязанность нести расходы в виде арендной платы. Тем самым законом субъекта Российской Федерации введены ограничения не только права пользования и владения таким имуществом, как земельный участок, но и конституционной свободы договора, что противоречит статье 55 (части 2 и 3) Конституции Российской Федерации.</w:t>
      </w:r>
    </w:p>
    <w:p>
      <w:pPr>
        <w:pStyle w:val="Heading3"/>
      </w:pPr>
      <w:r>
        <w:rPr>
          <w:rFonts w:ascii="Times New Roman" w:hAnsi="Times New Roman" w:eastAsia="Times New Roman" w:cs="Times New Roman"/>
          <w:b/>
          <w:i w:val="0"/>
          <w:sz w:val="22"/>
        </w:rPr>
        <w:t>Пункт 5. Правовой анализ</w:t>
      </w:r>
    </w:p>
    <w:p>
      <w:pPr>
        <w:spacing w:after="120" w:before="160"/>
        <w:ind w:firstLine="720"/>
        <w:jc w:val="both"/>
      </w:pPr>
      <w:r>
        <w:rPr>
          <w:rFonts w:ascii="Times New Roman" w:hAnsi="Times New Roman" w:eastAsia="Times New Roman" w:cs="Times New Roman"/>
          <w:b/>
          <w:i w:val="0"/>
          <w:sz w:val="22"/>
        </w:rPr>
        <w:t xml:space="preserve">5. </w:t>
      </w:r>
      <w:r>
        <w:rPr>
          <w:rFonts w:ascii="Times New Roman" w:hAnsi="Times New Roman" w:eastAsia="Times New Roman" w:cs="Times New Roman"/>
          <w:b w:val="0"/>
          <w:i w:val="0"/>
          <w:sz w:val="22"/>
        </w:rPr>
        <w:t>Из конституционных принципов равенства и справедливости вытекает требование определенности, ясности, недвусмысленности правовой нормы, поскольку иное не может обеспечить ее единообразное применение, не исключает неограниченное усмотрение в правоприменительной практике? и, следовательно, неизбежно ведет к произволу. Данная правовая позиция выражена в ряде постановлений Конституционного Суда Российской Федерации, в том числе от 25 апреля 1995 года по делу о проверке конституционности частей первой и второй статьи 54 Жилищного кодекса РСФСР и от 5 июля 2001 года по делу о проверке конституционности постановления Государственной Думы от 28 июня 2000 года № 492-III ГД "О внесении изменения в постановление Государственной Думы Федерального Собрания Российской Федерации "Об объявлении амнистии в связи с 55-летием Победы в Великой Отечественной войне 1941-1945 годов". Часть вторая статьи 16 Закона города Москвы "Об основах платного землепользования в городе Москве" не отвечает обращенному к законодателю конституционному требованию определенности правовой нормы: она допускает распространение понятия "предоставление земельного участка" как на случаи первичного получения земли, так и на случаи перерегистрации права владения и пользования земельными участками для граждан, проживающих в принадлежащих им на праве собственности домах, которые расположены на этих земельных участках. Отсутствие разграничения институтов предоставления земли и изменения титула прав на земельные участки для уже реально владеющих ими граждан на практике приводит к тому, что вопрос о размерах землевладения решается произвольно. Неопределенность нормы позволяет органам исполнительной власти квалифицировать переоформление прав на земельный участок как первичное его предоставление и в результате по собственному усмотрению определять, в каком размере он подлежит передаче в пожизненное наследуемое владение (в деле заявительницы это привело к значительному его уменьшению), что создает возможность для злоупотреблений, порождает противоречивую правоприменительную практику и не отвечает принципу равенства граждан перед законом и судом (статья 19, части 1 и 2 Конституции Российской Федерации). 5</w:t>
      </w:r>
    </w:p>
    <w:p>
      <w:pPr>
        <w:pStyle w:val="Heading3"/>
      </w:pPr>
      <w:r>
        <w:rPr>
          <w:rFonts w:ascii="Times New Roman" w:hAnsi="Times New Roman" w:eastAsia="Times New Roman" w:cs="Times New Roman"/>
          <w:b/>
          <w:i w:val="0"/>
          <w:sz w:val="22"/>
        </w:rPr>
        <w:t>Пункт 6. Выводы</w:t>
      </w:r>
    </w:p>
    <w:p>
      <w:pPr>
        <w:spacing w:after="120" w:before="160"/>
        <w:ind w:firstLine="720"/>
        <w:jc w:val="both"/>
      </w:pPr>
      <w:r>
        <w:rPr>
          <w:rFonts w:ascii="Times New Roman" w:hAnsi="Times New Roman" w:eastAsia="Times New Roman" w:cs="Times New Roman"/>
          <w:b/>
          <w:i w:val="0"/>
          <w:sz w:val="22"/>
        </w:rPr>
        <w:t xml:space="preserve">6. </w:t>
      </w:r>
      <w:r>
        <w:rPr>
          <w:rFonts w:ascii="Times New Roman" w:hAnsi="Times New Roman" w:eastAsia="Times New Roman" w:cs="Times New Roman"/>
          <w:b w:val="0"/>
          <w:i w:val="0"/>
          <w:sz w:val="22"/>
        </w:rPr>
        <w:t>Наличие на момент принятия Закона города Москвы "Об основах платного землепользования в городе Москве" федерального законодательства, которым регулируются отношения, касающиеся постоянного (бессрочного) пользования и пожизненного наследуемого владения земельными участками и их перерегистрации, исключает для законодательного органа субъекта Российской Федерации установление собственного регулирования в противоречие с федеральным. Такой запрет вытекает из статей 15 (часть 2) и 76 (части 1, 2 и 5) Конституции Российской Федерации. Принятые вопреки данному запрету, т.е. с нарушением компетенции, акты субъектов Российской Федерации применению не подлежат, а ограничиваемые ими права граждан во всяком случае могут и должны быть восстановлены в процессе правоприменения на основе прямого действия Конституции Российской Федерации и приоритета федерального закона. Это, однако, не снимает необходимости проверки Конституционным Судом Российской Федерации - при наличии законных поводов и оснований - конституционности принятых с нарушением компетенции законов субъектов Российской Федерации также по содержанию норм, тем более в случаях, когда права гражданина, нарушенные законом субъекта Российской Федерации, не были защищены состоявшимися по делу правоприменительными решениями. Такая правовая позиция вытекает из постановлений Конституционного Суда Российской Федерации от 16 июня 1998 года по делу о толковании отдельных положений статей 125, 126 и 127 Конституции Российской Федерации и от 11 апреля 2000 года по делу о проверке конституционности отдельных положений статей 1, 21 и 22 Федерального закона "О прокуратуре Российской Федерации". Она обусловлена юридической природой решений Конституционного Суда Российской Федерации, являющихся единственными судебными актами, которые лишают противоречащие Конституции Российской Федерации нормы юридической силы и, следовательно, обеспечивают единообразное применение конституционных положений в их развитии законодательной властью. Исходя из непосредственного действия прав и свобод,</w:t>
      </w:r>
    </w:p>
    <w:p>
      <w:pPr>
        <w:spacing w:before="200" w:after="300"/>
        <w:pBdr>
          <w:bottom w:val="single" w:sz="6" w:space="1" w:color="000000"/>
        </w:pBdr>
      </w:pPr>
    </w:p>
    <w:p>
      <w:pPr>
        <w:pStyle w:val="Heading1"/>
        <w:jc w:val="center"/>
      </w:pPr>
      <w:r>
        <w:rPr>
          <w:rFonts w:ascii="Times New Roman" w:hAnsi="Times New Roman" w:eastAsia="Times New Roman" w:cs="Times New Roman"/>
          <w:b/>
          <w:i w:val="0"/>
          <w:sz w:val="28"/>
        </w:rPr>
        <w:t>ПОСТАНОВИЛ:</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Признать положение части второй статьи 16 Закона города Москвы "Об основах платного землепользования в городе Москве" не соответствующим Конституции Российской Федерации, ее статьям 19 (части 1 и 2), 35 (части 2 и 3) и 55 (части 1, 2 и 3).</w:t>
      </w:r>
    </w:p>
    <w:p>
      <w:pPr>
        <w:spacing w:after="120" w:before="160"/>
        <w:ind w:firstLine="720"/>
        <w:jc w:val="both"/>
      </w:pPr>
      <w:r>
        <w:rPr>
          <w:rFonts w:ascii="Times New Roman" w:hAnsi="Times New Roman" w:eastAsia="Times New Roman" w:cs="Times New Roman"/>
          <w:b/>
          <w:i w:val="0"/>
          <w:sz w:val="22"/>
        </w:rPr>
        <w:t xml:space="preserve">2. </w:t>
      </w:r>
      <w:r>
        <w:rPr>
          <w:rFonts w:ascii="Times New Roman" w:hAnsi="Times New Roman" w:eastAsia="Times New Roman" w:cs="Times New Roman"/>
          <w:b w:val="0"/>
          <w:i w:val="0"/>
          <w:sz w:val="22"/>
        </w:rPr>
        <w:t>В соответствии с частью второй статьи 100 Федерального конституционного закона "О Конституционном Суде Российской Федерации" дело гражданки Т.В.Близинской подлежит пересмотру в установленном законом порядке.</w:t>
      </w:r>
    </w:p>
    <w:p>
      <w:pPr>
        <w:spacing w:after="120" w:before="160"/>
        <w:ind w:firstLine="720"/>
        <w:jc w:val="both"/>
      </w:pPr>
      <w:r>
        <w:rPr>
          <w:rFonts w:ascii="Times New Roman" w:hAnsi="Times New Roman" w:eastAsia="Times New Roman" w:cs="Times New Roman"/>
          <w:b/>
          <w:i w:val="0"/>
          <w:sz w:val="22"/>
        </w:rPr>
        <w:t xml:space="preserve">3. </w:t>
      </w:r>
      <w:r>
        <w:rPr>
          <w:rFonts w:ascii="Times New Roman" w:hAnsi="Times New Roman" w:eastAsia="Times New Roman" w:cs="Times New Roman"/>
          <w:b w:val="0"/>
          <w:i w:val="0"/>
          <w:sz w:val="22"/>
        </w:rPr>
        <w:t>Настоящее Постановление окончательно, не подлежит обжалованию, вступает в силу немедленно после провозглашения и действует непосредственно.</w:t>
      </w:r>
    </w:p>
    <w:p>
      <w:pPr>
        <w:spacing w:after="120" w:before="160"/>
        <w:ind w:firstLine="720"/>
        <w:jc w:val="both"/>
      </w:pPr>
      <w:r>
        <w:rPr>
          <w:rFonts w:ascii="Times New Roman" w:hAnsi="Times New Roman" w:eastAsia="Times New Roman" w:cs="Times New Roman"/>
          <w:b/>
          <w:i w:val="0"/>
          <w:sz w:val="22"/>
        </w:rPr>
        <w:t xml:space="preserve">4. </w:t>
      </w:r>
      <w:r>
        <w:rPr>
          <w:rFonts w:ascii="Times New Roman" w:hAnsi="Times New Roman" w:eastAsia="Times New Roman" w:cs="Times New Roman"/>
          <w:b w:val="0"/>
          <w:i w:val="0"/>
          <w:sz w:val="22"/>
        </w:rPr>
        <w:t>Согласно статье 78 Федерального конституционного закона "О Конституционном Суде Российской Федерации" настоящее Постановление подлежит незамедлительному опубликованию в "Собрании законодательства Российской Федерации", "Российской газете", официальных изданиях органов государственной власти Москвы. Постановление должно быть опубликовано также в "Вестнике Конституционного Суда Российской Федерации".</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