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305334-П/2017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Гейды Алексея Александровича на нарушение его конституционных прав пунктом 2 статьи 323 и пунктом 3 статьи 1079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А.А.Гейды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2 статьи 323 ГК Российской Федерации, обеспечивая реализацию принципа надлежащего исполнения гражданско- правовых обязательств, направлены на установление справедливого баланса интересов участников обязательственных правоотношений, а положения пункта 3 статьи 1079 того же Кодекса, являющиеся частью механизма возмещения вреда, причиненного источником повышенной опасности, – на защиту прав потерпевших в деликтных обязательствах. Данные нормы сами по себе не регламентируют вопросы, связанные с доказыванием тех или иных обстоятельств, и не могут расцениваться как нарушающие конституционные права заявителя, указанные в жалобе. Проверка же правильности применения норм права с учетом фактических обстоятельств конкретного дела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4 Исходя из изложенного и руководствуясь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Гейды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