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245609-П/2016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Широковой Ларисы Егоровны на нарушение ее конституционных прав пунктом 1 части 1 статьи 287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гражданки Л.Е.Широковой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3 устанавливает какой-либо определенный порядок реализации данного права и не предполагает возможность для гражданина, организации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законами. Положения статьи 287 АПК Российской Федерации, определяя полномочия арбитражного суда кассационной инстанции, во взаимосвязи с другими положениями главы 35 «Производство в суде кассационной инстанции», в частности с положениями статьи 288 того же Кодекса, регламентирующей основания для отмены судебного приказа, изменения или отмены решения, постановления арбитражного суда первой и апелляционной инстанций, не предполагают их произвольного применения и направлены на исправление возможных судебных ошибок в актах нижестоящих арбитражных судов. Таким образом, пункт 1 части 1 статьи 287 АПК Российской Федерации не может рассматриваться как нарушающий конституционные права заявительницы, перечисленные в жалобе, в ее конкретном деле.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Широковой Ларисы Егоровны,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