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1085-О/2016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Прохоренко Артема Александровича на нарушение его конституционных прав статьями 4124 и 4125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А.А.Прохоренко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Поданная в адрес Верховного Суда Российской Федерации защитником гражданина А.А.Прохоренко надзорная жалоба об оспаривании вступившего в законную силу приговора суда города федерального значения и последующих судебных решений была возвращена письмом судьи от 23 апреля 2015 года без рассмотрения, поскольку ранее надзорные жалобы осужденного уже неоднократно рассматривались в Верховном Суде Российской Федерации, по результатам чего были вынесены постановление судьи от 28 декабря 2012 года и решение заместителя Председателя Верховного Суда Российской Федерации от 9 апреля 2013 года об отказе в их удовлетворении. 2 В своей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Прохоренко Артема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