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Любимова Евгения Валентиновича на нарушение его конституционных прав частью третьей статьи 79 и частью второй статьи 100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вопрос о возможности принятия жалобы гражданина Е.В.Любимова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Федерального конституционного закона «О Конституционном Суде Российской Федерации», определяя юридическую силу решений Конституционного Суда Российской Федерации (статья 79), а также предусматривая последствия принятия им итогового решения (статья 100), лишь воспроизводят и конкретизируют положения статьи 125 Конституции Российской Федерации, закрепляющие пределы и условия осуществления правомочий Конституционного Суда Российской Федерации по защите прав граждан, а потому сами по себе не могут 3 расцениваться как нарушающие конституционные права Е.В.Любимова, указанные в жалобе. Проверка же законности и обоснованности принятых по конкретному делу заявителя судебных решений, в том числе в части оснований для их пересмотра в порядке надзора с учетом правовых позиций Конституционного Суда Российской Федерации, не относится к компетенции Конституционного Суда Российской Федерации. Исходя из изложенного и руководствуясь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Любимова Евгения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