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Сомова Станислава Владиславовича на нарушение его конституционных прав статьей 413 Уголовно-процессуального кодекса Российской Федерации и решениями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по требованию гражданина С.В.Сомова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нарушение своих прав заявитель связывает не с содержанием оспариваемой нормы закона, а с решениями судей Верховного Суда Российской Федерации, которыми отказано в удовлетворении его надзорных жалоб на приговор. Он утверждает, что при принятии данных решений судьями не были учтены положения статьи 413 УПК Российской Федерации и правовые позиции, выраженные в указанных решениях Конституционного Суда Российской Федерации. Тем самым, по сути, заявитель предлагает Конституционному Суду Российской Федерации проверить законность и обоснованность правоприменительных решений, что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Сомова Станислава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