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Накопалло Вадима Олеговича на нарушение его конституционных прав статьей 393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Л.М.Жарковой, Г.А.Жилина, С.М.Казанцева, М.И.Клеандрова, А.Л.Кононова, Л.О.Красавчиковой, С.П.Маврина, Н.В.Мельникова, Ю.Д.Рудкина, Н.В.Селезнева, В.Г.Стрекозова, О.С.Хохряковой, Б.С.Эбзеева, рассмотрев по требованию гражданина В.О.Накопалло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Верховного Суда Российской Федерации от 31 мая 2004 года, вынесенным по надзорной жалобе гражданина В.О.Накопалло, было отказано в истребовании дела, а его заявление о пересмотре данного определения по вновь открывшимся обстоятельствам, направленное в Верховный Суд Российской Федерации, возвращено.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заявителем материалы, не находит оснований для принятия данной жалобы к рассмотрению, поскольку статья 393 ГПК Российской Федерации конкретизирует положения статьи 47 (часть 1) Конституции Российской Федерации, а потому не может рассматриваться как нарушающая какие-либо конституционные права и свободы заявителя. Проверка же законности и обоснованности вынесенных по делу с участием заявителя судебных постановлений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Накопалло Вадима Олеговича,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