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229916-П/2016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марта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Горелькова Александра Васильевича на нарушение его конституционных прав положением части 2 статьи 112 Арбитражного процессуального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К.В.Арановского, А.И.Бойцова, Г.А.Гаджиева, Ю.М.Данилова, Л.М.Жарковой, Г.А.Жилина, С.М.Казанцева, М.И.Клеандрова, С.Д.Князева, А.Н.Кокотова, Л.О.Красавчиковой, С.П.Маврина, Н.В.Мельникова, Ю.Д.Рудкина, О.С.Хохряковой, рассмотрев вопрос о возможности принятия жалобы гражданина А.В.Горелькова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3 Конституционный Суд Российской Федерации неоднократно указывал, что право на судебную защиту, как оно сформулировано в статье 46 Конституции Российской Федерации, не свидетельствует о возможности выбора гражданином по своему усмотрению того или иного способа и процедуры судебной защиты, особенности которых применительно к отдельным категориям дел определяются федеральными законами (определения от 22 апреля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Горелькова Александра Васильевича,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