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213189-П/2015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Феденко Михаила Леонидовича на нарушение его конституционных прав статьями 260 и 3895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М.Л.Феденко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от 17 марта 2014 года гражданин М.Л.Феденко был признан виновным в совершении преступления. После поступления уголовного дела в суд апелляционной инстанции постановлением судьи от 16 мая 2014 года оно было возвращено в суд первой инстанции, поскольку на приговор поступила апелляционная жалоба в защиту интересов потерпевшего с пропуском установленного законом срока оспаривания, вопрос о восстановлении которого не был разрешен, а также поскольку в дополнении к апелляционной жалобе М.Л.Феденко, как указал судья, 2 содержались не рассмотренные замечания на протокол судебного заседания суда первой инстанции. Выражая несогласие с подобным судебным решением, М.Л.Феденко оспорил его в суд кассационной инстанции, однако постановлениями судьи областного суда от 10 июня 2014 года и судьи Верховного Суда Российской Федерации от 12 мая 2015 года, с последним из которых согласился заместитель Председателя Верховного Суда Российской Федерации (решение от 29 июня 2015 года), в передаче его кассационных жалоб для рассмотрения в судебном заседании судов кассационной инстанции было отказано. В своей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Феденко Михаила Леонидовича,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