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31860-П/1998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Верховного Суда Российской Федерации о проверке конституционности положений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Н.В.Витрука,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Верховного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гражданское дело по жалобе Е.Г.Костицына на постановление Центральной избирательной комиссии Российской Федерации от 17 апреля 1998 года о признании состоявшимися и действительными выборов депутата Государственной Думы по Орджоникидзевскому одномандатному избирательному округу № 165 Свердловской области, проводившихся в связи с досрочным прекращением полномочий ранее избранного депутата. Верховный Суд Российской Федерации, придя к выводу, что подлежащие, по его мнению, применению в этом деле положения пункта 2 статьи 58 и пункта 3 статьи 66 Федерального закона от 19 сентября 1997 года "Об основных гарантиях избирательных прав и права на участие в референдуме граждан Российской Федерации" не соответствуют Конституции Российской Федерации, приостановил производство по делу и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Положение пункта 2 статьи 58 Федерального закона "Об основных гарантиях избирательных прав и права на участие в референдуме граждан Российской Федерации" уже было предметом рассмотрения Конституционного Суда Российской Федерации в деле о проверке конституционности положений пункта 6 статьи 4, подпункта "а" пункта 3 и пункта 4 статьи 13, пункта 3 статьи 19 и пункта 2 статьи 58 Федерального закона от 19 сентября 1997 года "Об основных гарантиях избирательных прав и права на участие в референдуме граждан Российской Федерации" (постановление от 10 июня 1998 года). Правовая позиция Конституционного Суда Российской Федерации по этому вопросу заключается в следующем. Из закрепленного в Конституции Российской Федерации положения о свободных выборах в Российской Федерации следует, в частности, право избирателей выражать свою волю в любой из юридически возможных форм голосования в соответствии с установленными законодателем процедурами, с тем чтобы при этом исключалась возможность искажения существа волеизъявления избирателей. По смыслу пункта 6 статьи 51 Федерального закона "Об основных гарантиях избирательных прав и права на участие в референдуме граждан Российской Федерации", воля избирателей может быть выражена голосованием не только за или против отдельных кандидатов, но и в форме голосования против всех внесенных в избирательный бюллетень кандидатов. Такое волеизъявление означает в условиях свободных выборов не безразличное, а негативное отношение избирателей ко всем зарегистрированным и внесенным в избирательный бюллетень по данному избирательному округу кандидатам. Его конституционно-правовой смысл заключается в том, что таким кандидатам отказывается в праве представлять народ в выборных органах публичной власти. При этом выборы как способ выявления воли народа и формирования соответствующих легитимных органов государственной власти и местного самоуправления, от его имени осуществляющих публичную власть, основаны на приоритете воли большинства избирателей, принявших участие в голосовании. Факт негативного отношения большинства избирателей ко всем кандидатам, подтвержденный голосованием "против всех кандидатов" большим числом избирателей, чем проголосовало за набравшего большинство голосов кандидата, означает, что и данный кандидат не получил поддержки избирателей, необходимой и достаточной для обеспечения подлинного представительства народа, которое согласно статье 3 (части 2 и 3) Конституции Российской Федерации должно быть результатом свободных выборов.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Неконституционность положений пункта 2 статьи 58 и пункта 3 статьи 66 Федерального закона "Об основных гарантиях избирательных прав и права на участие в референдуме граждан Российской Федерации" заявитель усматривает также в том, что их применение в случае дополнительных выборов в связи с досрочным прекращением полномочий ранее избранного депутата приводит к тому, что порядок проведения выборов депутатов Государственной Думы одного созыва оказывается различным. Тем самым, по мнению заявителя, нарушается принцип равенства при осуществлении конституционного права быть избранным в органы государственной власти. Статья 32 (часть 2) Конституции Российской Федерации, предусматривая право граждан Российской Федерации избирать и быть избранными в органы государственной власти, не конкретизирует порядок его реализации. Регулирование отношений, связанных с организацией и порядком проведения выборов, в том числе с определением их результатов, осуществляется законодателем. Включив в Федеральный закон "Об основных гарантиях избирательных прав и права на участие в референдуме граждан Российской Федерации" положение пункта 2 статьи 58 и установив необходимость его применения 3 при проведении выборов, назначенных до вступления этого Закона в силу (пункт 3 статьи 66), законодатель изменил избирательную процедуру в целях уточнения способов выявления действительной воли избирателей. Такое изменение избирательной процедуры не нарушает принципа равенства при осуществлении гражданами Российской Федерации как активного, так и пассивного избирательного права в период проведения новых выборов, каковыми являются и дополнительные выборы, проводящиеся в связи с досрочным прекращением полномочий депутата. Исходя из изложенного и руководствуясь пунктами 1 и 3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Верховного Суда Российской Федерации, поскольку по предмету обращения Конституционным Судом Российской Федерации ранее было вынесено постановление, сохраняющее свою силу, и ввиду неподведомственности поставленного в нем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должно быть направлено в Центральную избирательную комиссию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