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33783-П/1999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гражданки Петровой Ираиды Валерьяновны на нарушение ее конституционных прав частью второй статьи 100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В.И.Олейника, Ю.Д.Рудкина, Н.В.Селезнева, А.Я.Сливы, В.Г.Стрекозова, О.С.Хохряковой, В.Г.Ярославцева, заслушав в пленарном заседании заключение судьи Т.Г.Морщаковой,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жалобы гражданки И.В.Петровой,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1996 году районный суд города Чебоксары отказал в удовлетворении жалобы И.В.Петровой на постановление таможенных органов о конфискации на основании статьи 266 Таможенного кодекса Российской Федерации принадлежавшего ей автомобиля. В марте 1998 года она обратилась к Председателю Верховного Суда Чувашской Республики с просьбой о принесении протеста на это судебное решение, ссылаясь на постановление Конституционного Суда Российской Федерации от 11 марта 1998 года, которым статья 266 Таможенного кодекса Российской Федерации признана неконституционной, и на часть вторую статьи 100 Федерального конституционного закона "О Конституционном Суде Российской Федерации", на основании которой, по мнению заявительницы, вынесенное в отношении нее судебное решение подлежит пересмотру.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статей 96 и 97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Петровой Ираиды Валерьяновны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