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24146-П/2010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Шевченко Андрея Алексеевича на нарушение его конституционных прав частью первой статьи 412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С.Д.Князева, Л.О.Красавчиковой, С.П.Маврина, Ю.Д.Рудкина, Н.В.Селезнева, В.Г.Стрекозова, В.Г.Ярославцева, рассмотрев по требованию гражданина А.А.Шевченко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гражданину А.А.Шевченко было отказано в удовлетворении его надзорной жалобы на вынесенный в отношении него приговор, а также решение суда кассационной инстанции, которым этот приговор оставлен без изменения. Заместитель Председателя Верховного Суда Российской Федерации согласился с данным постановлением. В дальнейшем А.А.Шевченко, а затем и его представитель неоднократно обращались в Верховный Суд Российской Федерации с надзорными жалобами, в том числе, по утверждению заявителя, 2 принесенными по другим правовым основаниям. Однако жалобы возвращались без рассмотрения со ссылкой на часть первую статьи 412 УПК Российской Федерации. Заявитель указывает, что жалобы рассматривались единолично судьями, а не судом надзорной инстанции, а сложившаяся правоприменительная практика, как считает А.А.Шевченко, предполагает, что судья в любом случае возвращает надзорную жалобу без рассмотрения, если ранее она была оставлена без удовлетворения постановлением судьи, с которым согласился председатель соответствующего суда либо его заместитель. По мнению заявителя, часть первая статьи 412 УПК Российской Федерации препятствует обжалованию судебных решений в суд надзорной инстанции и нарушает его права, гарантируемые статьями 2, 19, 45, 46 (часть 1) и 50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части первой статьи 412 УПК Российской Федерации с учетом положений части первой его статьи 404, повторной надзорной жалобой (представлением) следует считать жалобу (представление), принесенную по тому же делу, в отношении того же осужденного и по тем же основаниям, что и жалоба (представление), ранее оставленная без удовлетворения. Жалоба (представление), принесенная по иным правовым основаниям, не является повторной, а потому может быть подана вновь в ту же надзорную инстанцию. При этом положение части первой статьи 412 УПК Российской Федерации не препятствует реализации права на судебную защиту для граждан, чьи права нарушены в результате судебной ошибки, – в случае ее обнаружения она подлежит исправлению, в том числе если жалоба является повторной (Определение Конституционного Суда РФ от 8 ноября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Шевченко Андрея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